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36"/>
          <w:szCs w:val="36"/>
          <w:lang w:eastAsia="es-419"/>
        </w:rPr>
        <w:t>Requisitos Técnicos para la Integración de la API de Pagos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1. Diseño e Implementación de la Integración API utilizando HTTPS</w:t>
      </w:r>
    </w:p>
    <w:p w:rsidR="005F4C91" w:rsidRDefault="005F4C91" w:rsidP="005F4C91">
      <w:pPr>
        <w:spacing w:before="100" w:beforeAutospacing="1" w:after="100" w:afterAutospacing="1"/>
      </w:pPr>
      <w:r>
        <w:rPr>
          <w:lang w:eastAsia="es-419"/>
        </w:rPr>
        <w:t>La integración de la API se realizará utilizando el protocolo HTTPS para garantizar la seguridad de la información transmitida. Esto incluye:</w:t>
      </w:r>
    </w:p>
    <w:p w:rsidR="005F4C91" w:rsidRDefault="005F4C91" w:rsidP="005F4C91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Configuración del Servidor HTTPS</w:t>
      </w:r>
      <w:r>
        <w:rPr>
          <w:rFonts w:eastAsia="Times New Roman"/>
          <w:lang w:eastAsia="es-419"/>
        </w:rPr>
        <w:t>: Implementación de un certificado SSL/TLS en el servidor para habilitar comunicaciones seguras a través de HTTPS.</w:t>
      </w:r>
    </w:p>
    <w:p w:rsidR="005F4C91" w:rsidRDefault="005F4C91" w:rsidP="005F4C91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Redireccionamiento Automático</w:t>
      </w:r>
      <w:r>
        <w:rPr>
          <w:rFonts w:eastAsia="Times New Roman"/>
          <w:lang w:eastAsia="es-419"/>
        </w:rPr>
        <w:t>: Configuración del servidor para redirigir automáticamente todas las solicitudes HTTP a HTTPS, asegurando que toda la comunicación se realice de manera segura.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 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2. Implementación de Endpoints Seguros para la Comunicación</w:t>
      </w:r>
    </w:p>
    <w:p w:rsidR="005F4C91" w:rsidRDefault="005F4C91" w:rsidP="005F4C91">
      <w:pPr>
        <w:spacing w:before="100" w:beforeAutospacing="1" w:after="100" w:afterAutospacing="1"/>
      </w:pPr>
      <w:r>
        <w:rPr>
          <w:lang w:eastAsia="es-419"/>
        </w:rPr>
        <w:t>Para garantizar la seguridad de los endpoints de la API, se implementarán las siguientes medidas:</w:t>
      </w:r>
    </w:p>
    <w:p w:rsidR="005F4C91" w:rsidRDefault="005F4C91" w:rsidP="005F4C9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Autenticación basada en Token</w:t>
      </w:r>
      <w:r>
        <w:rPr>
          <w:rFonts w:eastAsia="Times New Roman"/>
          <w:lang w:eastAsia="es-419"/>
        </w:rPr>
        <w:t>: Uso de JWT (JSON Web Tokens) para la autenticación de usuarios y servicios que interactúan con la API. Cada solicitud a la API debe incluir un token válido en el encabezado de autorización.</w:t>
      </w:r>
    </w:p>
    <w:p w:rsidR="005F4C91" w:rsidRDefault="005F4C91" w:rsidP="005F4C9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Autorización de Acceso</w:t>
      </w:r>
      <w:r>
        <w:rPr>
          <w:rFonts w:eastAsia="Times New Roman"/>
          <w:lang w:eastAsia="es-419"/>
        </w:rPr>
        <w:t>: Implementación de controles de acceso para asegurar que solo los usuarios autorizados puedan acceder a ciertos endpoints.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 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3. Configuración del Sistema para Enviar Notificaciones de Acreditaciones de Pago y Devoluciones a través de Webhooks</w:t>
      </w:r>
    </w:p>
    <w:p w:rsidR="005F4C91" w:rsidRDefault="005F4C91" w:rsidP="005F4C91">
      <w:pPr>
        <w:spacing w:before="100" w:beforeAutospacing="1" w:after="100" w:afterAutospacing="1"/>
      </w:pPr>
      <w:r>
        <w:rPr>
          <w:lang w:eastAsia="es-419"/>
        </w:rPr>
        <w:t>El sistema permitirá enviar notificaciones de eventos de pago y devoluciones mediante el uso de webhooks. Esto incluye:</w:t>
      </w:r>
    </w:p>
    <w:p w:rsidR="005F4C91" w:rsidRDefault="005F4C91" w:rsidP="005F4C91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Endpoint de Webhook Seguro</w:t>
      </w:r>
      <w:r>
        <w:rPr>
          <w:rFonts w:eastAsia="Times New Roman"/>
          <w:lang w:eastAsia="es-419"/>
        </w:rPr>
        <w:t xml:space="preserve">: Configuración de un endpoint dedicado en el sistema del cliente para enviar notificaciones de webhook. 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 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4. Posibilidad de Manejar Distintas Cajas</w:t>
      </w:r>
    </w:p>
    <w:p w:rsidR="005F4C91" w:rsidRDefault="005F4C91" w:rsidP="005F4C91">
      <w:pPr>
        <w:spacing w:before="100" w:beforeAutospacing="1" w:after="100" w:afterAutospacing="1"/>
      </w:pPr>
      <w:r>
        <w:rPr>
          <w:lang w:eastAsia="es-419"/>
        </w:rPr>
        <w:t>El sistema permitirá la gestión de múltiples cajas registradoras, lo que incluye:</w:t>
      </w:r>
    </w:p>
    <w:p w:rsidR="005F4C91" w:rsidRDefault="005F4C91" w:rsidP="005F4C91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lastRenderedPageBreak/>
        <w:t>Modelado de Datos para Múltiples Cajas</w:t>
      </w:r>
      <w:r>
        <w:rPr>
          <w:rFonts w:eastAsia="Times New Roman"/>
          <w:lang w:eastAsia="es-419"/>
        </w:rPr>
        <w:t>: Diseño de la base de datos para soportar la gestión de varias cajas, incluyendo la capacidad de asociar transacciones a cajas específicas.</w:t>
      </w:r>
    </w:p>
    <w:p w:rsidR="005F4C91" w:rsidRDefault="005F4C91" w:rsidP="005F4C91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Interfaz de Usuario para Administración de Cajas</w:t>
      </w:r>
      <w:r>
        <w:rPr>
          <w:rFonts w:eastAsia="Times New Roman"/>
          <w:lang w:eastAsia="es-419"/>
        </w:rPr>
        <w:t>: Desarrollo de una interfaz de usuario que permita la creación, edición y seguimiento de diferentes cajas dentro del sistema.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 </w:t>
      </w:r>
    </w:p>
    <w:p w:rsidR="005F4C91" w:rsidRDefault="005F4C91" w:rsidP="005F4C91">
      <w:pPr>
        <w:spacing w:before="100" w:beforeAutospacing="1" w:after="100" w:afterAutospacing="1"/>
      </w:pPr>
      <w:r>
        <w:rPr>
          <w:b/>
          <w:bCs/>
          <w:sz w:val="27"/>
          <w:szCs w:val="27"/>
          <w:lang w:eastAsia="es-419"/>
        </w:rPr>
        <w:t>5. Generación de QR Interoperable con Montos Variables</w:t>
      </w:r>
    </w:p>
    <w:p w:rsidR="005F4C91" w:rsidRDefault="005F4C91" w:rsidP="005F4C91">
      <w:pPr>
        <w:spacing w:before="100" w:beforeAutospacing="1" w:after="100" w:afterAutospacing="1"/>
      </w:pPr>
      <w:r>
        <w:rPr>
          <w:lang w:eastAsia="es-419"/>
        </w:rPr>
        <w:t>Se implementará la generación de códigos QR interoperables que puedan representar montos variables para facilitar los pagos. Esto incluye:</w:t>
      </w:r>
    </w:p>
    <w:p w:rsidR="005F4C91" w:rsidRDefault="005F4C91" w:rsidP="005F4C91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API para Generación de QR</w:t>
      </w:r>
      <w:r>
        <w:rPr>
          <w:rFonts w:eastAsia="Times New Roman"/>
          <w:lang w:eastAsia="es-419"/>
        </w:rPr>
        <w:t>: Creación de un endpoint en la API que permita generar códigos QR con diferentes montos según la solicitud del cliente.</w:t>
      </w:r>
    </w:p>
    <w:p w:rsidR="005F4C91" w:rsidRDefault="005F4C91" w:rsidP="005F4C91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  <w:b/>
          <w:bCs/>
          <w:lang w:eastAsia="es-419"/>
        </w:rPr>
        <w:t>Interoperabilidad del QR</w:t>
      </w:r>
      <w:r>
        <w:rPr>
          <w:rFonts w:eastAsia="Times New Roman"/>
          <w:lang w:eastAsia="es-419"/>
        </w:rPr>
        <w:t>: Asegurarse de que los códigos QR generados sean compatibles con los estándares de la industria y puedan ser leídos por diferentes aplicaciones de pago.</w:t>
      </w:r>
    </w:p>
    <w:p w:rsidR="005F4C91" w:rsidRDefault="005F4C91" w:rsidP="005F4C91">
      <w:pPr>
        <w:pStyle w:val="HTMLconformatoprevio"/>
      </w:pPr>
      <w:r>
        <w:t xml:space="preserve">-- </w:t>
      </w:r>
    </w:p>
    <w:p w:rsidR="005F4C91" w:rsidRDefault="005F4C91" w:rsidP="005F4C91">
      <w:pPr>
        <w:pStyle w:val="HTMLconformatoprevio"/>
      </w:pPr>
      <w:r>
        <w:t>Lucas Gonzalo Vera</w:t>
      </w:r>
    </w:p>
    <w:p w:rsidR="005F4C91" w:rsidRDefault="005F4C91" w:rsidP="005F4C91">
      <w:pPr>
        <w:pStyle w:val="HTMLconformatoprevio"/>
      </w:pPr>
      <w:r>
        <w:t>Gerencia de Tecnología Informática</w:t>
      </w:r>
    </w:p>
    <w:p w:rsidR="005F4C91" w:rsidRDefault="005F4C91" w:rsidP="005F4C91">
      <w:pPr>
        <w:pStyle w:val="HTMLconformatoprevio"/>
      </w:pPr>
      <w:r>
        <w:t>CMCBA</w:t>
      </w:r>
    </w:p>
    <w:p w:rsidR="00027308" w:rsidRDefault="00027308">
      <w:bookmarkStart w:id="0" w:name="_GoBack"/>
      <w:bookmarkEnd w:id="0"/>
    </w:p>
    <w:sectPr w:rsidR="000273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44C"/>
    <w:multiLevelType w:val="multilevel"/>
    <w:tmpl w:val="6D7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146181"/>
    <w:multiLevelType w:val="multilevel"/>
    <w:tmpl w:val="D5F4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CE3F37"/>
    <w:multiLevelType w:val="multilevel"/>
    <w:tmpl w:val="CEBA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841A05"/>
    <w:multiLevelType w:val="multilevel"/>
    <w:tmpl w:val="EAC8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58649D"/>
    <w:multiLevelType w:val="multilevel"/>
    <w:tmpl w:val="50F2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1"/>
    <w:rsid w:val="00027308"/>
    <w:rsid w:val="005F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D874851-323E-43FC-9130-78D9F9E4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C91"/>
    <w:pPr>
      <w:spacing w:after="0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F4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F4C91"/>
    <w:rPr>
      <w:rFonts w:ascii="Courier New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Martin Alvarez</dc:creator>
  <cp:keywords/>
  <dc:description/>
  <cp:lastModifiedBy>Rodrigo Martin Alvarez</cp:lastModifiedBy>
  <cp:revision>1</cp:revision>
  <dcterms:created xsi:type="dcterms:W3CDTF">2024-09-20T17:18:00Z</dcterms:created>
  <dcterms:modified xsi:type="dcterms:W3CDTF">2024-09-20T17:18:00Z</dcterms:modified>
</cp:coreProperties>
</file>